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222544F3"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A257C7">
        <w:rPr>
          <w:rFonts w:cs="Arial"/>
          <w:b/>
          <w:noProof/>
          <w:sz w:val="24"/>
        </w:rPr>
        <w:t>4568</w:t>
      </w:r>
    </w:p>
    <w:p w14:paraId="00890AF0" w14:textId="1DAD9470"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0B58870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581724" w:rsidRPr="00E97056">
        <w:rPr>
          <w:rFonts w:ascii="Arial" w:hAnsi="Arial" w:cs="Arial"/>
          <w:b/>
          <w:lang w:eastAsia="zh-CN"/>
        </w:rPr>
        <w:t xml:space="preserve"> </w:t>
      </w:r>
      <w:r w:rsidR="00AB51E7">
        <w:rPr>
          <w:rFonts w:ascii="Arial" w:eastAsia="Times New Roman" w:hAnsi="Arial" w:cs="Arial"/>
          <w:b/>
          <w:bCs/>
        </w:rPr>
        <w:t>KI#3_NewSol</w:t>
      </w:r>
      <w:r w:rsidR="00AB51E7">
        <w:rPr>
          <w:rFonts w:asciiTheme="minorEastAsia" w:eastAsiaTheme="minorEastAsia" w:hAnsiTheme="minorEastAsia" w:cs="Arial"/>
          <w:b/>
          <w:bCs/>
          <w:lang w:eastAsia="zh-CN"/>
        </w:rPr>
        <w:t>_</w:t>
      </w:r>
      <w:r w:rsidR="00581724" w:rsidRPr="00E97056">
        <w:rPr>
          <w:rFonts w:ascii="Arial" w:hAnsi="Arial" w:cs="Arial"/>
          <w:b/>
          <w:lang w:eastAsia="zh-CN"/>
        </w:rPr>
        <w:t>Delay Difference and Two Way Delay</w:t>
      </w:r>
      <w:r w:rsidR="00067920" w:rsidRPr="00067920">
        <w:rPr>
          <w:rFonts w:ascii="Arial" w:hAnsi="Arial" w:cs="Arial"/>
          <w:b/>
          <w:lang w:eastAsia="zh-CN"/>
        </w:rPr>
        <w:t xml:space="preserve"> </w:t>
      </w:r>
      <w:bookmarkStart w:id="1" w:name="OLE_LINK83"/>
      <w:r w:rsidR="00AB51E7" w:rsidRPr="00E97056">
        <w:rPr>
          <w:rFonts w:ascii="Arial" w:hAnsi="Arial" w:cs="Arial"/>
          <w:b/>
          <w:lang w:eastAsia="zh-CN"/>
        </w:rPr>
        <w:t>Notificati</w:t>
      </w:r>
      <w:bookmarkStart w:id="2" w:name="_GoBack"/>
      <w:bookmarkEnd w:id="2"/>
      <w:r w:rsidR="00AB51E7" w:rsidRPr="00E97056">
        <w:rPr>
          <w:rFonts w:ascii="Arial" w:hAnsi="Arial" w:cs="Arial"/>
          <w:b/>
          <w:lang w:eastAsia="zh-CN"/>
        </w:rPr>
        <w:t>ons and Reports</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5CE844B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w:t>
      </w:r>
      <w:r w:rsidR="00AB51E7">
        <w:rPr>
          <w:rFonts w:ascii="Arial" w:hAnsi="Arial" w:cs="Arial"/>
          <w:i/>
        </w:rPr>
        <w:t>3</w:t>
      </w:r>
      <w:r w:rsidR="00D76FAF">
        <w:rPr>
          <w:rFonts w:ascii="Arial" w:hAnsi="Arial" w:cs="Arial"/>
          <w:i/>
        </w:rPr>
        <w:t xml:space="preserve">: </w:t>
      </w:r>
      <w:r w:rsidR="00AB51E7" w:rsidRPr="00E97056">
        <w:rPr>
          <w:rFonts w:ascii="Arial" w:hAnsi="Arial" w:cs="Arial"/>
          <w:i/>
        </w:rPr>
        <w:t>5GS information exposure for XR/media Enhancements</w:t>
      </w:r>
      <w:r w:rsidR="00D76FAF" w:rsidRPr="00D76FAF">
        <w:rPr>
          <w:rFonts w:ascii="Arial" w:hAnsi="Arial" w:cs="Arial"/>
          <w:i/>
        </w:rPr>
        <w:t xml:space="preserve">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34A09391" w:rsidR="00D76FAF" w:rsidRPr="005E4238" w:rsidRDefault="00D76FAF" w:rsidP="00D76FAF">
      <w:pPr>
        <w:rPr>
          <w:rFonts w:eastAsia="宋体"/>
          <w:color w:val="auto"/>
          <w:lang w:eastAsia="en-US"/>
        </w:rPr>
      </w:pPr>
      <w:bookmarkStart w:id="3" w:name="_Hlk87257355"/>
      <w:r w:rsidRPr="005E4238">
        <w:rPr>
          <w:rFonts w:eastAsia="宋体"/>
          <w:color w:val="auto"/>
          <w:lang w:eastAsia="en-US"/>
        </w:rPr>
        <w:t>In TR 23.700-60, Key Issue</w:t>
      </w:r>
      <w:r w:rsidR="00AB51E7">
        <w:rPr>
          <w:rFonts w:eastAsia="宋体"/>
          <w:color w:val="auto"/>
          <w:lang w:eastAsia="en-US"/>
        </w:rPr>
        <w:t xml:space="preserve"> </w:t>
      </w:r>
      <w:r w:rsidRPr="005E4238">
        <w:rPr>
          <w:rFonts w:eastAsia="宋体"/>
          <w:color w:val="auto"/>
          <w:lang w:eastAsia="en-US"/>
        </w:rPr>
        <w:t>#</w:t>
      </w:r>
      <w:r w:rsidR="00AB51E7">
        <w:rPr>
          <w:rFonts w:eastAsia="宋体"/>
          <w:color w:val="auto"/>
          <w:lang w:eastAsia="en-US"/>
        </w:rPr>
        <w:t>3</w:t>
      </w:r>
      <w:r w:rsidR="00AB51E7" w:rsidRPr="005E4238">
        <w:rPr>
          <w:rFonts w:eastAsia="宋体"/>
          <w:color w:val="auto"/>
          <w:lang w:eastAsia="en-US"/>
        </w:rPr>
        <w:t xml:space="preserve"> </w:t>
      </w:r>
      <w:r w:rsidRPr="005E4238">
        <w:rPr>
          <w:rFonts w:eastAsia="宋体"/>
          <w:color w:val="auto"/>
          <w:lang w:eastAsia="en-US"/>
        </w:rPr>
        <w:t>“</w:t>
      </w:r>
      <w:r w:rsidR="00AB51E7" w:rsidRPr="009F5519">
        <w:t>5GS information exposure for XR/media Enhancements</w:t>
      </w:r>
      <w:r w:rsidRPr="005E4238">
        <w:rPr>
          <w:rFonts w:eastAsia="宋体"/>
          <w:color w:val="auto"/>
          <w:lang w:eastAsia="en-US"/>
        </w:rPr>
        <w:t xml:space="preserve">” was agreed at SA2#149. </w:t>
      </w:r>
    </w:p>
    <w:p w14:paraId="40C63CE0" w14:textId="0F49FD04" w:rsidR="006D43A8" w:rsidRPr="009F5519" w:rsidRDefault="006D43A8" w:rsidP="006D43A8">
      <w:r w:rsidRPr="009F5519">
        <w:t xml:space="preserve">This Key Issue will study mechanisms that enable codec/rate adaptation to meet requirements for </w:t>
      </w:r>
      <w:r w:rsidRPr="005E4238">
        <w:rPr>
          <w:rFonts w:eastAsia="宋体"/>
          <w:color w:val="auto"/>
          <w:lang w:eastAsia="en-US"/>
        </w:rPr>
        <w:t>XRM</w:t>
      </w:r>
      <w:r w:rsidRPr="009F5519">
        <w:t xml:space="preserve"> </w:t>
      </w:r>
      <w:r>
        <w:t>services:</w:t>
      </w:r>
    </w:p>
    <w:p w14:paraId="101A4754" w14:textId="77777777" w:rsidR="006D43A8" w:rsidRPr="009F5519" w:rsidRDefault="006D43A8" w:rsidP="006D43A8">
      <w:pPr>
        <w:pStyle w:val="B1"/>
      </w:pPr>
      <w:r w:rsidRPr="009F5519">
        <w:t>-</w:t>
      </w:r>
      <w:r w:rsidRPr="009F5519">
        <w:tab/>
        <w:t>Study the use cases and whether enhancements to the exposure framework are needed for such use cases;</w:t>
      </w:r>
    </w:p>
    <w:p w14:paraId="5B2F0ED9" w14:textId="5DD26668" w:rsidR="006D43A8" w:rsidRPr="009F5519" w:rsidRDefault="006D43A8" w:rsidP="006D43A8">
      <w:pPr>
        <w:pStyle w:val="B1"/>
      </w:pPr>
      <w:r w:rsidRPr="009F5519">
        <w:t>-</w:t>
      </w:r>
      <w:r w:rsidRPr="009F5519">
        <w:tab/>
        <w:t xml:space="preserve">What 5GS information needs to be exposed to enable application codec/rate </w:t>
      </w:r>
      <w:proofErr w:type="gramStart"/>
      <w:r>
        <w:t>adaptation;</w:t>
      </w:r>
      <w:proofErr w:type="gramEnd"/>
    </w:p>
    <w:p w14:paraId="4243D0FA" w14:textId="1E47C1A0" w:rsidR="00D76FAF" w:rsidRPr="005E4238" w:rsidRDefault="006D43A8" w:rsidP="005E4238">
      <w:pPr>
        <w:pStyle w:val="B1"/>
        <w:rPr>
          <w:rFonts w:eastAsia="Times New Roman"/>
          <w:color w:val="auto"/>
          <w:lang w:eastAsia="en-GB"/>
        </w:rPr>
      </w:pPr>
      <w:r w:rsidRPr="009F5519">
        <w:t>-</w:t>
      </w:r>
      <w:r w:rsidRPr="009F5519">
        <w:tab/>
        <w:t>How to expose 5GS information for application codec/rate adaptation.</w:t>
      </w:r>
    </w:p>
    <w:p w14:paraId="75AD898D" w14:textId="2EE0893C" w:rsidR="00986982" w:rsidRPr="00E97056" w:rsidRDefault="00D76FAF" w:rsidP="00444AAC">
      <w:pPr>
        <w:rPr>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sidR="006D43A8">
        <w:rPr>
          <w:lang w:eastAsia="zh-CN"/>
        </w:rPr>
        <w:t xml:space="preserve">3, which is focus on the </w:t>
      </w:r>
      <w:r w:rsidR="006D43A8" w:rsidRPr="00E97056">
        <w:rPr>
          <w:lang w:eastAsia="zh-CN"/>
        </w:rPr>
        <w:t>Delay Difference and Two Way Delay Notifications and Reports</w:t>
      </w:r>
      <w:r>
        <w:rPr>
          <w:lang w:eastAsia="zh-CN"/>
        </w:rPr>
        <w:t>.</w:t>
      </w:r>
    </w:p>
    <w:bookmarkEnd w:id="3"/>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4"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5" w:name="_Toc97155715"/>
      <w:bookmarkStart w:id="6" w:name="_Toc22214903"/>
      <w:bookmarkStart w:id="7" w:name="_Toc23254036"/>
      <w:bookmarkStart w:id="8" w:name="_Hlk92215149"/>
      <w:bookmarkEnd w:id="4"/>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1585E55C" w:rsidR="0014683A" w:rsidRPr="00B5477F" w:rsidRDefault="0014683A" w:rsidP="0014683A">
      <w:pPr>
        <w:pStyle w:val="2"/>
      </w:pPr>
      <w:bookmarkStart w:id="9" w:name="_Toc500949097"/>
      <w:bookmarkStart w:id="10" w:name="_Toc92875660"/>
      <w:bookmarkStart w:id="11" w:name="_Toc93070684"/>
      <w:bookmarkStart w:id="12" w:name="_Toc97036718"/>
      <w:bookmarkStart w:id="13" w:name="_Toc20227985"/>
      <w:bookmarkStart w:id="14" w:name="_Toc22125438"/>
      <w:bookmarkStart w:id="15" w:name="_Toc22125858"/>
      <w:bookmarkStart w:id="16" w:name="_Toc22126132"/>
      <w:bookmarkStart w:id="17" w:name="_Toc22183818"/>
      <w:bookmarkStart w:id="18" w:name="_Toc22183888"/>
      <w:bookmarkStart w:id="19" w:name="_Toc22184058"/>
      <w:bookmarkStart w:id="20" w:name="_Toc22184160"/>
      <w:bookmarkStart w:id="21" w:name="_Toc2226193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t xml:space="preserve">X: </w:t>
      </w:r>
      <w:bookmarkStart w:id="22" w:name="OLE_LINK1"/>
      <w:bookmarkEnd w:id="9"/>
      <w:r w:rsidR="006D43A8" w:rsidRPr="00E97056">
        <w:t>Delay Difference and Delay</w:t>
      </w:r>
      <w:bookmarkEnd w:id="22"/>
      <w:r w:rsidR="006D43A8" w:rsidRPr="00E97056">
        <w:t xml:space="preserve"> Notifications and Reports</w:t>
      </w:r>
      <w:bookmarkEnd w:id="10"/>
      <w:bookmarkEnd w:id="11"/>
      <w:bookmarkEnd w:id="12"/>
    </w:p>
    <w:p w14:paraId="684BCBD5" w14:textId="77777777" w:rsidR="0014683A" w:rsidRPr="00B5477F" w:rsidRDefault="0014683A" w:rsidP="0014683A">
      <w:pPr>
        <w:pStyle w:val="3"/>
      </w:pPr>
      <w:bookmarkStart w:id="23" w:name="_Toc500949098"/>
      <w:bookmarkStart w:id="24" w:name="_Toc92875661"/>
      <w:bookmarkStart w:id="25" w:name="_Toc93070685"/>
      <w:bookmarkStart w:id="26"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23"/>
      <w:bookmarkEnd w:id="24"/>
      <w:bookmarkEnd w:id="25"/>
      <w:bookmarkEnd w:id="26"/>
    </w:p>
    <w:p w14:paraId="3ED78E42" w14:textId="240A7C84" w:rsidR="0014683A" w:rsidRPr="00FA3A27" w:rsidRDefault="0014683A" w:rsidP="0014683A">
      <w:pPr>
        <w:jc w:val="both"/>
        <w:rPr>
          <w:lang w:eastAsia="zh-CN"/>
        </w:rPr>
      </w:pPr>
      <w:r w:rsidRPr="004646BC">
        <w:rPr>
          <w:lang w:eastAsia="zh-CN"/>
        </w:rPr>
        <w:t>This solution addresses KI#</w:t>
      </w:r>
      <w:r w:rsidR="006D43A8">
        <w:rPr>
          <w:lang w:eastAsia="zh-CN"/>
        </w:rPr>
        <w:t>3</w:t>
      </w:r>
      <w:r w:rsidRPr="004646BC">
        <w:rPr>
          <w:lang w:eastAsia="zh-CN"/>
        </w:rPr>
        <w:t xml:space="preserve">: </w:t>
      </w:r>
      <w:r w:rsidR="006D43A8" w:rsidRPr="009F5519">
        <w:t>5GS information exposure for XR/media Enhancements</w:t>
      </w:r>
      <w:r w:rsidR="0028740E" w:rsidRPr="0028740E">
        <w:rPr>
          <w:rFonts w:hint="eastAsia"/>
          <w:lang w:eastAsia="zh-CN"/>
        </w:rPr>
        <w:t>.</w:t>
      </w:r>
    </w:p>
    <w:p w14:paraId="6E7958AF" w14:textId="77777777" w:rsidR="0014683A" w:rsidRPr="00B5477F" w:rsidRDefault="0014683A" w:rsidP="0014683A">
      <w:pPr>
        <w:pStyle w:val="3"/>
      </w:pPr>
      <w:bookmarkStart w:id="27" w:name="_Toc500949099"/>
      <w:bookmarkStart w:id="28" w:name="_Toc92875662"/>
      <w:bookmarkStart w:id="29" w:name="_Toc93070686"/>
      <w:bookmarkStart w:id="30" w:name="_Toc97036720"/>
      <w:proofErr w:type="gramStart"/>
      <w:r w:rsidRPr="00B5477F">
        <w:t>6.</w:t>
      </w:r>
      <w:r w:rsidRPr="00B5477F">
        <w:rPr>
          <w:rFonts w:hint="eastAsia"/>
        </w:rPr>
        <w:t>X</w:t>
      </w:r>
      <w:r w:rsidRPr="00B5477F">
        <w:t>.2</w:t>
      </w:r>
      <w:proofErr w:type="gramEnd"/>
      <w:r w:rsidRPr="00B5477F">
        <w:rPr>
          <w:rFonts w:hint="eastAsia"/>
        </w:rPr>
        <w:tab/>
        <w:t>Description</w:t>
      </w:r>
      <w:bookmarkEnd w:id="27"/>
      <w:bookmarkEnd w:id="28"/>
      <w:bookmarkEnd w:id="29"/>
      <w:bookmarkEnd w:id="30"/>
    </w:p>
    <w:p w14:paraId="0CE20810" w14:textId="3E98F87D" w:rsidR="00375E83" w:rsidRDefault="008E7624" w:rsidP="00375E83">
      <w:pPr>
        <w:rPr>
          <w:lang w:eastAsia="zh-CN"/>
        </w:rPr>
      </w:pPr>
      <w:bookmarkStart w:id="31" w:name="_Toc500949101"/>
      <w:r w:rsidRPr="009F5519">
        <w:rPr>
          <w:lang w:eastAsia="zh-CN"/>
        </w:rPr>
        <w:t xml:space="preserve">This solution proposes that AF can </w:t>
      </w:r>
      <w:r>
        <w:rPr>
          <w:rFonts w:hint="eastAsia"/>
          <w:lang w:eastAsia="zh-CN"/>
        </w:rPr>
        <w:t>subscribe</w:t>
      </w:r>
      <w:r>
        <w:rPr>
          <w:lang w:eastAsia="zh-CN"/>
        </w:rPr>
        <w:t xml:space="preserve"> </w:t>
      </w:r>
      <w:r w:rsidR="00375E83">
        <w:rPr>
          <w:lang w:eastAsia="zh-CN"/>
        </w:rPr>
        <w:t>d</w:t>
      </w:r>
      <w:r w:rsidR="00375E83" w:rsidRPr="00375E83">
        <w:rPr>
          <w:lang w:eastAsia="zh-CN"/>
        </w:rPr>
        <w:t xml:space="preserve">elay </w:t>
      </w:r>
      <w:r w:rsidR="00375E83">
        <w:rPr>
          <w:lang w:eastAsia="zh-CN"/>
        </w:rPr>
        <w:t>d</w:t>
      </w:r>
      <w:r w:rsidR="00375E83" w:rsidRPr="00375E83">
        <w:rPr>
          <w:lang w:eastAsia="zh-CN"/>
        </w:rPr>
        <w:t xml:space="preserve">ifference and </w:t>
      </w:r>
      <w:r w:rsidR="009F7CDF">
        <w:rPr>
          <w:lang w:eastAsia="zh-CN"/>
        </w:rPr>
        <w:t>t</w:t>
      </w:r>
      <w:r w:rsidR="009F7CDF" w:rsidRPr="00375E83">
        <w:rPr>
          <w:lang w:eastAsia="zh-CN"/>
        </w:rPr>
        <w:t xml:space="preserve">wo </w:t>
      </w:r>
      <w:r w:rsidR="009F7CDF">
        <w:rPr>
          <w:lang w:eastAsia="zh-CN"/>
        </w:rPr>
        <w:t>w</w:t>
      </w:r>
      <w:r w:rsidR="009F7CDF" w:rsidRPr="00375E83">
        <w:rPr>
          <w:lang w:eastAsia="zh-CN"/>
        </w:rPr>
        <w:t xml:space="preserve">ay </w:t>
      </w:r>
      <w:r w:rsidR="009F7CDF">
        <w:rPr>
          <w:lang w:eastAsia="zh-CN"/>
        </w:rPr>
        <w:t>d</w:t>
      </w:r>
      <w:r w:rsidR="009F7CDF" w:rsidRPr="00603887">
        <w:rPr>
          <w:lang w:eastAsia="zh-CN"/>
        </w:rPr>
        <w:t>elay</w:t>
      </w:r>
      <w:r w:rsidRPr="009F5519">
        <w:rPr>
          <w:lang w:eastAsia="zh-CN"/>
        </w:rPr>
        <w:t xml:space="preserve"> </w:t>
      </w:r>
      <w:r>
        <w:rPr>
          <w:rFonts w:hint="eastAsia"/>
          <w:lang w:eastAsia="zh-CN"/>
        </w:rPr>
        <w:t>of</w:t>
      </w:r>
      <w:r>
        <w:rPr>
          <w:lang w:eastAsia="zh-CN"/>
        </w:rPr>
        <w:t xml:space="preserve"> </w:t>
      </w:r>
      <w:r>
        <w:rPr>
          <w:rFonts w:hint="eastAsia"/>
          <w:lang w:eastAsia="zh-CN"/>
        </w:rPr>
        <w:t>data</w:t>
      </w:r>
      <w:r>
        <w:rPr>
          <w:lang w:eastAsia="zh-CN"/>
        </w:rPr>
        <w:t xml:space="preserve"> </w:t>
      </w:r>
      <w:r>
        <w:rPr>
          <w:rFonts w:hint="eastAsia"/>
          <w:lang w:eastAsia="zh-CN"/>
        </w:rPr>
        <w:t>flows</w:t>
      </w:r>
      <w:r w:rsidR="00375E83">
        <w:rPr>
          <w:lang w:eastAsia="zh-CN"/>
        </w:rPr>
        <w:t xml:space="preserve"> to 5GS</w:t>
      </w:r>
      <w:r>
        <w:rPr>
          <w:lang w:eastAsia="zh-CN"/>
        </w:rPr>
        <w:t xml:space="preserve">. Based on the </w:t>
      </w:r>
      <w:r w:rsidR="00375E83">
        <w:rPr>
          <w:lang w:eastAsia="zh-CN"/>
        </w:rPr>
        <w:t>notification and report of the delay status information, the AF can</w:t>
      </w:r>
      <w:r w:rsidR="00375E83" w:rsidRPr="009F5519">
        <w:rPr>
          <w:lang w:eastAsia="zh-CN"/>
        </w:rPr>
        <w:t xml:space="preserve"> provide the coordinated service requirement to the 5GS for the tactile and multi-modal flows</w:t>
      </w:r>
      <w:r w:rsidR="00375E83">
        <w:rPr>
          <w:lang w:eastAsia="zh-CN"/>
        </w:rPr>
        <w:t xml:space="preserve">, during the AF session </w:t>
      </w:r>
      <w:r w:rsidR="00B8372B">
        <w:rPr>
          <w:lang w:eastAsia="zh-CN"/>
        </w:rPr>
        <w:t>setup</w:t>
      </w:r>
      <w:r w:rsidR="00375E83">
        <w:rPr>
          <w:lang w:eastAsia="zh-CN"/>
        </w:rPr>
        <w:t xml:space="preserve"> </w:t>
      </w:r>
      <w:r w:rsidR="00B8372B">
        <w:rPr>
          <w:lang w:eastAsia="zh-CN"/>
        </w:rPr>
        <w:t>procedures</w:t>
      </w:r>
      <w:r w:rsidR="00375E83" w:rsidRPr="009F5519">
        <w:rPr>
          <w:lang w:eastAsia="zh-CN"/>
        </w:rPr>
        <w:t xml:space="preserve">. </w:t>
      </w:r>
    </w:p>
    <w:p w14:paraId="3C7EAFE8" w14:textId="5D129330" w:rsidR="00B8372B" w:rsidRDefault="00F837F0" w:rsidP="00375E83">
      <w:pPr>
        <w:rPr>
          <w:lang w:eastAsia="zh-CN"/>
        </w:rPr>
      </w:pPr>
      <w:r>
        <w:rPr>
          <w:lang w:eastAsia="zh-CN"/>
        </w:rPr>
        <w:t>The</w:t>
      </w:r>
      <w:bookmarkStart w:id="32" w:name="OLE_LINK2"/>
      <w:r>
        <w:rPr>
          <w:lang w:eastAsia="zh-CN"/>
        </w:rPr>
        <w:t xml:space="preserve"> d</w:t>
      </w:r>
      <w:r w:rsidRPr="00375E83">
        <w:rPr>
          <w:lang w:eastAsia="zh-CN"/>
        </w:rPr>
        <w:t xml:space="preserve">elay </w:t>
      </w:r>
      <w:r>
        <w:rPr>
          <w:lang w:eastAsia="zh-CN"/>
        </w:rPr>
        <w:t>d</w:t>
      </w:r>
      <w:r w:rsidRPr="00375E83">
        <w:rPr>
          <w:lang w:eastAsia="zh-CN"/>
        </w:rPr>
        <w:t>ifference</w:t>
      </w:r>
      <w:r>
        <w:rPr>
          <w:lang w:eastAsia="zh-CN"/>
        </w:rPr>
        <w:t xml:space="preserve"> </w:t>
      </w:r>
      <w:bookmarkEnd w:id="32"/>
      <w:r>
        <w:rPr>
          <w:lang w:eastAsia="zh-CN"/>
        </w:rPr>
        <w:t xml:space="preserve">follows the description in Clause 6.1 of TR 23.700-60-020, </w:t>
      </w:r>
      <w:r w:rsidRPr="009F5519">
        <w:rPr>
          <w:lang w:eastAsia="zh-CN"/>
        </w:rPr>
        <w:t>Solution #1: Tactile and multi-modality traffic flows coordination transmission for one UE</w:t>
      </w:r>
      <w:r>
        <w:rPr>
          <w:lang w:eastAsia="zh-CN"/>
        </w:rPr>
        <w:t>. It is assumed that the</w:t>
      </w:r>
      <w:r w:rsidR="00ED4652">
        <w:rPr>
          <w:lang w:eastAsia="zh-CN"/>
        </w:rPr>
        <w:t xml:space="preserve"> data flows of</w:t>
      </w:r>
      <w:r w:rsidR="00AC33F9" w:rsidRPr="00AC33F9">
        <w:rPr>
          <w:lang w:eastAsia="zh-CN"/>
        </w:rPr>
        <w:t xml:space="preserve"> </w:t>
      </w:r>
      <w:r w:rsidR="008016D2">
        <w:rPr>
          <w:lang w:eastAsia="zh-CN"/>
        </w:rPr>
        <w:t>d</w:t>
      </w:r>
      <w:r w:rsidR="008016D2" w:rsidRPr="00375E83">
        <w:rPr>
          <w:lang w:eastAsia="zh-CN"/>
        </w:rPr>
        <w:t xml:space="preserve">elay </w:t>
      </w:r>
      <w:r w:rsidR="008016D2">
        <w:rPr>
          <w:lang w:eastAsia="zh-CN"/>
        </w:rPr>
        <w:t>d</w:t>
      </w:r>
      <w:r w:rsidR="008016D2" w:rsidRPr="00375E83">
        <w:rPr>
          <w:lang w:eastAsia="zh-CN"/>
        </w:rPr>
        <w:t>ifference</w:t>
      </w:r>
      <w:r w:rsidR="008016D2">
        <w:rPr>
          <w:lang w:eastAsia="zh-CN"/>
        </w:rPr>
        <w:t xml:space="preserve"> </w:t>
      </w:r>
      <w:r w:rsidR="00AC33F9" w:rsidRPr="00AC33F9">
        <w:rPr>
          <w:lang w:eastAsia="zh-CN"/>
        </w:rPr>
        <w:t>measurement</w:t>
      </w:r>
      <w:r w:rsidR="00ED4652">
        <w:rPr>
          <w:lang w:eastAsia="zh-CN"/>
        </w:rPr>
        <w:t xml:space="preserve"> belongs to </w:t>
      </w:r>
      <w:r w:rsidR="008016D2" w:rsidRPr="009F5519">
        <w:rPr>
          <w:lang w:eastAsia="zh-CN"/>
        </w:rPr>
        <w:t>a single UE</w:t>
      </w:r>
      <w:r w:rsidR="008016D2">
        <w:rPr>
          <w:lang w:eastAsia="zh-CN"/>
        </w:rPr>
        <w:t>.</w:t>
      </w:r>
    </w:p>
    <w:p w14:paraId="06299CE9" w14:textId="6A02063F" w:rsidR="009F7CDF" w:rsidRDefault="009F7CDF" w:rsidP="00375E83">
      <w:pPr>
        <w:rPr>
          <w:lang w:eastAsia="zh-CN"/>
        </w:rPr>
      </w:pPr>
      <w:r>
        <w:rPr>
          <w:lang w:eastAsia="zh-CN"/>
        </w:rPr>
        <w:lastRenderedPageBreak/>
        <w:t>The t</w:t>
      </w:r>
      <w:r w:rsidRPr="00375E83">
        <w:rPr>
          <w:lang w:eastAsia="zh-CN"/>
        </w:rPr>
        <w:t xml:space="preserve">wo </w:t>
      </w:r>
      <w:r>
        <w:rPr>
          <w:lang w:eastAsia="zh-CN"/>
        </w:rPr>
        <w:t>w</w:t>
      </w:r>
      <w:r w:rsidRPr="00375E83">
        <w:rPr>
          <w:lang w:eastAsia="zh-CN"/>
        </w:rPr>
        <w:t xml:space="preserve">ay </w:t>
      </w:r>
      <w:r>
        <w:rPr>
          <w:lang w:eastAsia="zh-CN"/>
        </w:rPr>
        <w:t>d</w:t>
      </w:r>
      <w:r w:rsidRPr="00603887">
        <w:rPr>
          <w:lang w:eastAsia="zh-CN"/>
        </w:rPr>
        <w:t>elay</w:t>
      </w:r>
      <w:r>
        <w:rPr>
          <w:lang w:eastAsia="zh-CN"/>
        </w:rPr>
        <w:t xml:space="preserve"> is defined </w:t>
      </w:r>
      <w:r w:rsidRPr="009F5519">
        <w:rPr>
          <w:lang w:eastAsia="zh-CN"/>
        </w:rPr>
        <w:t>as the sum of UL and DL P</w:t>
      </w:r>
      <w:r>
        <w:rPr>
          <w:lang w:eastAsia="zh-CN"/>
        </w:rPr>
        <w:t xml:space="preserve">ackets </w:t>
      </w:r>
      <w:r w:rsidRPr="009F5519">
        <w:rPr>
          <w:lang w:eastAsia="zh-CN"/>
        </w:rPr>
        <w:t>D</w:t>
      </w:r>
      <w:r>
        <w:rPr>
          <w:lang w:eastAsia="zh-CN"/>
        </w:rPr>
        <w:t>elay, which is described in Clause 6.29 of TR 23.700-60-020,</w:t>
      </w:r>
      <w:r w:rsidRPr="009F7CDF">
        <w:rPr>
          <w:lang w:eastAsia="zh-CN"/>
        </w:rPr>
        <w:t xml:space="preserve"> </w:t>
      </w:r>
      <w:r>
        <w:rPr>
          <w:lang w:eastAsia="zh-CN"/>
        </w:rPr>
        <w:t>Solution #29</w:t>
      </w:r>
      <w:r w:rsidRPr="009F5519">
        <w:rPr>
          <w:lang w:eastAsia="zh-CN"/>
        </w:rPr>
        <w:t>: Two Way Delay Budget</w:t>
      </w:r>
      <w:r>
        <w:rPr>
          <w:lang w:eastAsia="zh-CN"/>
        </w:rPr>
        <w:t xml:space="preserve">. It is assumed that </w:t>
      </w:r>
      <w:r w:rsidR="00A14E2F" w:rsidRPr="001B7C50">
        <w:rPr>
          <w:lang w:eastAsia="zh-CN"/>
        </w:rPr>
        <w:t xml:space="preserve">the NG-RAN and PSA UPF are time synchronised, </w:t>
      </w:r>
      <w:r w:rsidR="00A14E2F">
        <w:rPr>
          <w:lang w:eastAsia="zh-CN"/>
        </w:rPr>
        <w:t xml:space="preserve">then </w:t>
      </w:r>
      <w:r w:rsidR="00A14E2F" w:rsidRPr="001B7C50">
        <w:rPr>
          <w:lang w:eastAsia="zh-CN"/>
        </w:rPr>
        <w:t xml:space="preserve">the one way packet delay monitoring between NG-RAN and PSA UPF </w:t>
      </w:r>
      <w:r w:rsidR="00A14E2F">
        <w:rPr>
          <w:lang w:eastAsia="zh-CN"/>
        </w:rPr>
        <w:t xml:space="preserve">can be </w:t>
      </w:r>
      <w:r w:rsidR="00A14E2F" w:rsidRPr="001B7C50">
        <w:rPr>
          <w:lang w:eastAsia="zh-CN"/>
        </w:rPr>
        <w:t>supported.</w:t>
      </w:r>
    </w:p>
    <w:p w14:paraId="56DAE7AA" w14:textId="66B653CD" w:rsidR="0014683A" w:rsidRPr="004D41A6" w:rsidRDefault="00AD6580" w:rsidP="00397C2E">
      <w:pPr>
        <w:rPr>
          <w:lang w:eastAsia="zh-CN"/>
        </w:rPr>
      </w:pPr>
      <w:r>
        <w:rPr>
          <w:lang w:eastAsia="zh-CN"/>
        </w:rPr>
        <w:t xml:space="preserve">Then mechanism of the </w:t>
      </w:r>
      <w:proofErr w:type="spellStart"/>
      <w:r w:rsidR="006618B4" w:rsidRPr="001B7C50">
        <w:rPr>
          <w:lang w:eastAsia="zh-CN"/>
        </w:rPr>
        <w:t>QoS</w:t>
      </w:r>
      <w:proofErr w:type="spellEnd"/>
      <w:r w:rsidR="006618B4" w:rsidRPr="001B7C50">
        <w:rPr>
          <w:lang w:eastAsia="zh-CN"/>
        </w:rPr>
        <w:t xml:space="preserve"> Monitoring applied for </w:t>
      </w:r>
      <w:r w:rsidR="00341B73" w:rsidRPr="003D4ABF">
        <w:rPr>
          <w:lang w:eastAsia="zh-CN"/>
        </w:rPr>
        <w:t>the real time</w:t>
      </w:r>
      <w:r w:rsidR="00341B73" w:rsidRPr="001B7C50">
        <w:rPr>
          <w:lang w:eastAsia="zh-CN"/>
        </w:rPr>
        <w:t xml:space="preserve"> </w:t>
      </w:r>
      <w:r w:rsidR="006618B4" w:rsidRPr="001B7C50">
        <w:rPr>
          <w:lang w:eastAsia="zh-CN"/>
        </w:rPr>
        <w:t>packet delay measurement</w:t>
      </w:r>
      <w:r w:rsidR="006618B4">
        <w:rPr>
          <w:lang w:eastAsia="zh-CN"/>
        </w:rPr>
        <w:t xml:space="preserve"> </w:t>
      </w:r>
      <w:r w:rsidRPr="009F5519">
        <w:rPr>
          <w:lang w:eastAsia="zh-CN"/>
        </w:rPr>
        <w:t>for flows</w:t>
      </w:r>
      <w:r>
        <w:rPr>
          <w:lang w:eastAsia="zh-CN"/>
        </w:rPr>
        <w:t xml:space="preserve"> </w:t>
      </w:r>
      <w:r w:rsidR="006618B4">
        <w:rPr>
          <w:lang w:eastAsia="zh-CN"/>
        </w:rPr>
        <w:t>can be reused</w:t>
      </w:r>
      <w:r w:rsidR="006618B4" w:rsidRPr="001B7C50">
        <w:rPr>
          <w:lang w:eastAsia="zh-CN"/>
        </w:rPr>
        <w:t>.</w:t>
      </w:r>
      <w:r w:rsidR="00341B73" w:rsidRPr="00341B73">
        <w:rPr>
          <w:lang w:eastAsia="zh-CN"/>
        </w:rPr>
        <w:t xml:space="preserve"> </w:t>
      </w:r>
      <w:r w:rsidR="00341B73" w:rsidRPr="001B7C50">
        <w:rPr>
          <w:lang w:eastAsia="zh-CN"/>
        </w:rPr>
        <w:t xml:space="preserve">The </w:t>
      </w:r>
      <w:proofErr w:type="spellStart"/>
      <w:r w:rsidR="00341B73" w:rsidRPr="001B7C50">
        <w:rPr>
          <w:lang w:eastAsia="zh-CN"/>
        </w:rPr>
        <w:t>QoS</w:t>
      </w:r>
      <w:proofErr w:type="spellEnd"/>
      <w:r w:rsidR="00341B73" w:rsidRPr="001B7C50">
        <w:rPr>
          <w:lang w:eastAsia="zh-CN"/>
        </w:rPr>
        <w:t xml:space="preserve"> Monitoring on UL/DL packet delay between NG-RAN and PSA UPF can be performed on different levels of granularities, i.e. per </w:t>
      </w:r>
      <w:proofErr w:type="spellStart"/>
      <w:r w:rsidR="00341B73" w:rsidRPr="001B7C50">
        <w:rPr>
          <w:lang w:eastAsia="zh-CN"/>
        </w:rPr>
        <w:t>QoS</w:t>
      </w:r>
      <w:proofErr w:type="spellEnd"/>
      <w:r w:rsidR="00341B73" w:rsidRPr="001B7C50">
        <w:rPr>
          <w:lang w:eastAsia="zh-CN"/>
        </w:rPr>
        <w:t xml:space="preserve"> Flow per UE level, or per GTP-U path level, subject to the operators' configuration, and/or 3rd party application request, and/or PCF policy control for the </w:t>
      </w:r>
      <w:r w:rsidR="00341B73">
        <w:rPr>
          <w:lang w:eastAsia="zh-CN"/>
        </w:rPr>
        <w:t>XRM</w:t>
      </w:r>
      <w:r w:rsidR="00341B73" w:rsidRPr="001B7C50">
        <w:rPr>
          <w:lang w:eastAsia="zh-CN"/>
        </w:rPr>
        <w:t xml:space="preserve"> services.</w:t>
      </w:r>
    </w:p>
    <w:p w14:paraId="64D60F1F" w14:textId="43667796" w:rsidR="00C05C31" w:rsidRDefault="0014683A" w:rsidP="003F0985">
      <w:pPr>
        <w:pStyle w:val="3"/>
        <w:rPr>
          <w:rFonts w:eastAsia="宋体"/>
        </w:rPr>
      </w:pPr>
      <w:bookmarkStart w:id="33" w:name="_Toc92875663"/>
      <w:bookmarkStart w:id="34" w:name="_Toc93070687"/>
      <w:bookmarkStart w:id="35" w:name="_Toc97036721"/>
      <w:proofErr w:type="gramStart"/>
      <w:r w:rsidRPr="00B5477F">
        <w:t>6.X.3</w:t>
      </w:r>
      <w:proofErr w:type="gramEnd"/>
      <w:r w:rsidRPr="00B5477F">
        <w:tab/>
        <w:t>Procedures</w:t>
      </w:r>
      <w:bookmarkEnd w:id="31"/>
      <w:bookmarkEnd w:id="33"/>
      <w:bookmarkEnd w:id="34"/>
      <w:bookmarkEnd w:id="35"/>
    </w:p>
    <w:p w14:paraId="1579475F" w14:textId="57F5AF39" w:rsidR="0014683A" w:rsidRDefault="0014683A" w:rsidP="002D3D79">
      <w:r>
        <w:rPr>
          <w:lang w:eastAsia="zh-CN"/>
        </w:rPr>
        <w:t>The following figure represents a high-level procedure of the solution</w:t>
      </w:r>
      <w:r w:rsidR="00C05C31">
        <w:rPr>
          <w:rFonts w:hint="eastAsia"/>
          <w:lang w:eastAsia="zh-CN"/>
        </w:rPr>
        <w:t xml:space="preserve"> that</w:t>
      </w:r>
      <w:r w:rsidR="00BA5375">
        <w:rPr>
          <w:lang w:eastAsia="zh-CN"/>
        </w:rPr>
        <w:t xml:space="preserve"> </w:t>
      </w:r>
      <w:r w:rsidR="00BA5375">
        <w:rPr>
          <w:rFonts w:hint="eastAsia"/>
          <w:lang w:eastAsia="zh-CN"/>
        </w:rPr>
        <w:t>the</w:t>
      </w:r>
      <w:r w:rsidR="00BA5375">
        <w:rPr>
          <w:lang w:eastAsia="zh-CN"/>
        </w:rPr>
        <w:t xml:space="preserve"> </w:t>
      </w:r>
      <w:r w:rsidR="00BA5375">
        <w:t>AF subscrib</w:t>
      </w:r>
      <w:r w:rsidR="00BA5375">
        <w:rPr>
          <w:rFonts w:hint="eastAsia"/>
          <w:lang w:eastAsia="zh-CN"/>
        </w:rPr>
        <w:t>es</w:t>
      </w:r>
      <w:r w:rsidR="00BA5375">
        <w:t xml:space="preserve"> to receive the </w:t>
      </w:r>
      <w:r w:rsidR="00BA5375">
        <w:rPr>
          <w:lang w:eastAsia="zh-CN"/>
        </w:rPr>
        <w:t>d</w:t>
      </w:r>
      <w:r w:rsidR="00BA5375" w:rsidRPr="00375E83">
        <w:rPr>
          <w:lang w:eastAsia="zh-CN"/>
        </w:rPr>
        <w:t xml:space="preserve">elay </w:t>
      </w:r>
      <w:r w:rsidR="00BA5375">
        <w:rPr>
          <w:lang w:eastAsia="zh-CN"/>
        </w:rPr>
        <w:t>d</w:t>
      </w:r>
      <w:r w:rsidR="00BA5375" w:rsidRPr="00375E83">
        <w:rPr>
          <w:lang w:eastAsia="zh-CN"/>
        </w:rPr>
        <w:t xml:space="preserve">ifference and </w:t>
      </w:r>
      <w:r w:rsidR="00BA5375">
        <w:rPr>
          <w:lang w:eastAsia="zh-CN"/>
        </w:rPr>
        <w:t>t</w:t>
      </w:r>
      <w:r w:rsidR="00BA5375" w:rsidRPr="00375E83">
        <w:rPr>
          <w:lang w:eastAsia="zh-CN"/>
        </w:rPr>
        <w:t xml:space="preserve">wo </w:t>
      </w:r>
      <w:r w:rsidR="00BA5375">
        <w:rPr>
          <w:lang w:eastAsia="zh-CN"/>
        </w:rPr>
        <w:t>w</w:t>
      </w:r>
      <w:r w:rsidR="00BA5375" w:rsidRPr="00375E83">
        <w:rPr>
          <w:lang w:eastAsia="zh-CN"/>
        </w:rPr>
        <w:t xml:space="preserve">ay </w:t>
      </w:r>
      <w:r w:rsidR="00BA5375">
        <w:rPr>
          <w:lang w:eastAsia="zh-CN"/>
        </w:rPr>
        <w:t>d</w:t>
      </w:r>
      <w:r w:rsidR="00BA5375" w:rsidRPr="00603887">
        <w:rPr>
          <w:lang w:eastAsia="zh-CN"/>
        </w:rPr>
        <w:t>elay</w:t>
      </w:r>
      <w:r w:rsidR="00BA5375" w:rsidRPr="009F5519">
        <w:rPr>
          <w:lang w:eastAsia="zh-CN"/>
        </w:rPr>
        <w:t xml:space="preserve"> </w:t>
      </w:r>
      <w:r w:rsidR="00BA5375">
        <w:rPr>
          <w:rFonts w:hint="eastAsia"/>
          <w:lang w:eastAsia="zh-CN"/>
        </w:rPr>
        <w:t>of</w:t>
      </w:r>
      <w:r w:rsidR="00BA5375">
        <w:rPr>
          <w:lang w:eastAsia="zh-CN"/>
        </w:rPr>
        <w:t xml:space="preserve"> </w:t>
      </w:r>
      <w:r w:rsidR="00BA5375">
        <w:rPr>
          <w:rFonts w:hint="eastAsia"/>
          <w:lang w:eastAsia="zh-CN"/>
        </w:rPr>
        <w:t>data</w:t>
      </w:r>
      <w:r w:rsidR="00BA5375">
        <w:rPr>
          <w:lang w:eastAsia="zh-CN"/>
        </w:rPr>
        <w:t xml:space="preserve"> </w:t>
      </w:r>
      <w:r w:rsidR="00BA5375">
        <w:rPr>
          <w:rFonts w:hint="eastAsia"/>
          <w:lang w:eastAsia="zh-CN"/>
        </w:rPr>
        <w:t>flows</w:t>
      </w:r>
      <w:r w:rsidR="00BA5375">
        <w:rPr>
          <w:lang w:eastAsia="zh-CN"/>
        </w:rPr>
        <w:t xml:space="preserve"> </w:t>
      </w:r>
      <w:r w:rsidR="00BA5375">
        <w:rPr>
          <w:rFonts w:hint="eastAsia"/>
          <w:lang w:eastAsia="zh-CN"/>
        </w:rPr>
        <w:t>from</w:t>
      </w:r>
      <w:r w:rsidR="00BA5375">
        <w:rPr>
          <w:lang w:eastAsia="zh-CN"/>
        </w:rPr>
        <w:t xml:space="preserve"> 5</w:t>
      </w:r>
      <w:r w:rsidR="00BA5375">
        <w:rPr>
          <w:rFonts w:hint="eastAsia"/>
          <w:lang w:eastAsia="zh-CN"/>
        </w:rPr>
        <w:t>GS</w:t>
      </w:r>
      <w:r w:rsidR="00BA5375">
        <w:t xml:space="preserve">. The procedure handles the case when </w:t>
      </w:r>
      <w:r w:rsidR="0087260D">
        <w:t xml:space="preserve">the </w:t>
      </w:r>
      <w:r w:rsidR="0087260D">
        <w:rPr>
          <w:lang w:eastAsia="zh-CN"/>
        </w:rPr>
        <w:t>d</w:t>
      </w:r>
      <w:r w:rsidR="0087260D" w:rsidRPr="00375E83">
        <w:rPr>
          <w:lang w:eastAsia="zh-CN"/>
        </w:rPr>
        <w:t xml:space="preserve">elay </w:t>
      </w:r>
      <w:r w:rsidR="0087260D">
        <w:rPr>
          <w:lang w:eastAsia="zh-CN"/>
        </w:rPr>
        <w:t>d</w:t>
      </w:r>
      <w:r w:rsidR="0087260D" w:rsidRPr="00375E83">
        <w:rPr>
          <w:lang w:eastAsia="zh-CN"/>
        </w:rPr>
        <w:t>ifference</w:t>
      </w:r>
      <w:r w:rsidR="0087260D">
        <w:rPr>
          <w:lang w:eastAsia="zh-CN"/>
        </w:rPr>
        <w:t xml:space="preserve"> of flows from the single UE is subscribed </w:t>
      </w:r>
      <w:r w:rsidR="00BA5375">
        <w:t xml:space="preserve">or </w:t>
      </w:r>
      <w:r w:rsidR="0087260D">
        <w:t xml:space="preserve">the Two Way Delay of flows from multiple UEs </w:t>
      </w:r>
      <w:r w:rsidR="0087260D">
        <w:rPr>
          <w:rFonts w:hint="eastAsia"/>
          <w:lang w:eastAsia="zh-CN"/>
        </w:rPr>
        <w:t>of</w:t>
      </w:r>
      <w:r w:rsidR="0087260D">
        <w:t xml:space="preserve"> </w:t>
      </w:r>
      <w:r w:rsidR="0087260D">
        <w:rPr>
          <w:rFonts w:hint="eastAsia"/>
          <w:lang w:eastAsia="zh-CN"/>
        </w:rPr>
        <w:t>the</w:t>
      </w:r>
      <w:r w:rsidR="0087260D">
        <w:t xml:space="preserve"> </w:t>
      </w:r>
      <w:r w:rsidR="0087260D">
        <w:rPr>
          <w:rFonts w:hint="eastAsia"/>
          <w:lang w:eastAsia="zh-CN"/>
        </w:rPr>
        <w:t>XRM</w:t>
      </w:r>
      <w:r w:rsidR="0087260D">
        <w:t xml:space="preserve"> </w:t>
      </w:r>
      <w:r w:rsidR="0087260D">
        <w:rPr>
          <w:rFonts w:hint="eastAsia"/>
          <w:lang w:eastAsia="zh-CN"/>
        </w:rPr>
        <w:t>services</w:t>
      </w:r>
      <w:r w:rsidR="0087260D">
        <w:t xml:space="preserve"> is subscribed</w:t>
      </w:r>
      <w:r w:rsidR="00BA5375">
        <w:rPr>
          <w:rFonts w:hint="eastAsia"/>
          <w:lang w:eastAsia="zh-CN"/>
        </w:rPr>
        <w:t>.</w:t>
      </w:r>
    </w:p>
    <w:p w14:paraId="33047DD2" w14:textId="12145B9F" w:rsidR="0037096D" w:rsidRDefault="0037096D" w:rsidP="00B428D4">
      <w:pPr>
        <w:jc w:val="center"/>
        <w:rPr>
          <w:lang w:eastAsia="zh-CN"/>
        </w:rPr>
      </w:pPr>
      <w:r>
        <w:object w:dxaOrig="12111" w:dyaOrig="8830" w14:anchorId="774BB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49.5pt" o:ole="">
            <v:imagedata r:id="rId8" o:title=""/>
          </v:shape>
          <o:OLEObject Type="Embed" ProgID="Visio.Drawing.15" ShapeID="_x0000_i1025" DrawAspect="Content" ObjectID="_1713385804" r:id="rId9"/>
        </w:object>
      </w:r>
    </w:p>
    <w:p w14:paraId="563B1DFD" w14:textId="4C1D03A9"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B428D4">
        <w:rPr>
          <w:lang w:eastAsia="zh-CN"/>
        </w:rPr>
        <w:t>d</w:t>
      </w:r>
      <w:r w:rsidR="00B428D4" w:rsidRPr="00375E83">
        <w:rPr>
          <w:lang w:eastAsia="zh-CN"/>
        </w:rPr>
        <w:t xml:space="preserve">elay </w:t>
      </w:r>
      <w:r w:rsidR="00B428D4">
        <w:rPr>
          <w:lang w:eastAsia="zh-CN"/>
        </w:rPr>
        <w:t>status information subscription and</w:t>
      </w:r>
      <w:r w:rsidR="00B428D4" w:rsidRPr="00B428D4">
        <w:t xml:space="preserve"> </w:t>
      </w:r>
      <w:r w:rsidR="00B428D4">
        <w:t>notification</w:t>
      </w:r>
      <w:r w:rsidRPr="009D3EE2">
        <w:t>.</w:t>
      </w:r>
    </w:p>
    <w:p w14:paraId="3D65DBDD" w14:textId="2478DE75" w:rsidR="0087260D" w:rsidRPr="00E97056" w:rsidRDefault="0087260D" w:rsidP="0087260D">
      <w:pPr>
        <w:pStyle w:val="B1"/>
      </w:pPr>
      <w:r w:rsidRPr="00E97056">
        <w:t xml:space="preserve">1. To subscribe or unsubscribe for </w:t>
      </w:r>
      <w:r w:rsidRPr="00E97056">
        <w:rPr>
          <w:lang w:eastAsia="zh-CN"/>
        </w:rPr>
        <w:t>the delay difference</w:t>
      </w:r>
      <w:r w:rsidRPr="00E97056">
        <w:t xml:space="preserve"> </w:t>
      </w:r>
      <w:r w:rsidR="00B428D4">
        <w:t>and two way delay</w:t>
      </w:r>
      <w:r w:rsidR="00B428D4" w:rsidRPr="00B428D4">
        <w:rPr>
          <w:lang w:eastAsia="zh-CN"/>
        </w:rPr>
        <w:t xml:space="preserve"> </w:t>
      </w:r>
      <w:r w:rsidRPr="00E97056">
        <w:rPr>
          <w:lang w:eastAsia="zh-CN"/>
        </w:rPr>
        <w:t>of a couple of XRM service and multi-modal data flows</w:t>
      </w:r>
      <w:r w:rsidRPr="00E97056">
        <w:t xml:space="preserve"> notification with the NEF, the AF sends Nnef_EventExposure Subscribe/Unsubscribe Request (Event ID, Event Filter, Event Reporting information, </w:t>
      </w:r>
      <w:r w:rsidRPr="00E97056">
        <w:rPr>
          <w:color w:val="0C0C0C"/>
          <w:lang w:val="en-US"/>
        </w:rPr>
        <w:t>Delay difference,</w:t>
      </w:r>
      <w:r w:rsidR="009038B3" w:rsidRPr="009038B3">
        <w:t xml:space="preserve"> </w:t>
      </w:r>
      <w:r w:rsidR="00476406" w:rsidRPr="003D4ABF">
        <w:t>DL, UL</w:t>
      </w:r>
      <w:r w:rsidR="00476406">
        <w:t xml:space="preserve">, </w:t>
      </w:r>
      <w:r w:rsidR="009038B3">
        <w:t>two way delay,</w:t>
      </w:r>
      <w:r w:rsidRPr="00E97056">
        <w:rPr>
          <w:color w:val="0C0C0C"/>
          <w:lang w:val="en-US"/>
        </w:rPr>
        <w:t xml:space="preserve"> </w:t>
      </w:r>
      <w:r w:rsidRPr="00E97056">
        <w:t xml:space="preserve">S-NSSAI, immediate reporting, </w:t>
      </w:r>
      <w:r w:rsidRPr="00E97056">
        <w:rPr>
          <w:color w:val="0C0C0C"/>
          <w:lang w:val="en-US"/>
        </w:rPr>
        <w:t>DNN, Application ID, Group ID</w:t>
      </w:r>
      <w:r w:rsidRPr="00E97056">
        <w:rPr>
          <w:lang w:val="en-US" w:eastAsia="zh-CN"/>
        </w:rPr>
        <w:t>,</w:t>
      </w:r>
      <w:r w:rsidRPr="00E97056">
        <w:t xml:space="preserve"> UE address) message to the NEF. The Event ID parameter defines the subscribed event ID, i.e. </w:t>
      </w:r>
      <w:r w:rsidRPr="00E97056">
        <w:rPr>
          <w:lang w:eastAsia="zh-CN"/>
        </w:rPr>
        <w:t>the delay difference</w:t>
      </w:r>
      <w:r w:rsidRPr="00E97056">
        <w:t xml:space="preserve"> </w:t>
      </w:r>
      <w:r w:rsidRPr="00E97056">
        <w:rPr>
          <w:lang w:eastAsia="zh-CN"/>
        </w:rPr>
        <w:t xml:space="preserve">of a couple of XRM service and multi-modal data flows. </w:t>
      </w:r>
    </w:p>
    <w:p w14:paraId="07B0919E" w14:textId="77777777" w:rsidR="0087260D" w:rsidRPr="00E97056" w:rsidRDefault="0087260D" w:rsidP="00E97056">
      <w:pPr>
        <w:pStyle w:val="B1"/>
        <w:ind w:firstLine="0"/>
      </w:pPr>
      <w:r w:rsidRPr="00E97056">
        <w:t xml:space="preserve">The Event Filter parameter defines the S-NSSAI </w:t>
      </w:r>
      <w:r w:rsidRPr="00E97056">
        <w:rPr>
          <w:lang w:eastAsia="zh-CN"/>
        </w:rPr>
        <w:t>(</w:t>
      </w:r>
      <w:r w:rsidRPr="00E97056">
        <w:t>in case of a trusted AF or AF-Service-Identifier for an untrusted AF</w:t>
      </w:r>
      <w:r w:rsidRPr="00E97056">
        <w:rPr>
          <w:lang w:eastAsia="zh-CN"/>
        </w:rPr>
        <w:t>)</w:t>
      </w:r>
      <w:r w:rsidRPr="00E97056">
        <w:t xml:space="preserve">, S-NSSAI and DNN, XRM service Group ID, UE IDs, for which the XRM service subscription is requested. </w:t>
      </w:r>
    </w:p>
    <w:p w14:paraId="1BCF1632" w14:textId="77777777" w:rsidR="0087260D" w:rsidRPr="00B46E3C" w:rsidRDefault="0087260D" w:rsidP="00B46E3C">
      <w:pPr>
        <w:pStyle w:val="B1"/>
        <w:ind w:firstLine="0"/>
      </w:pPr>
      <w:r w:rsidRPr="00E97056">
        <w:t xml:space="preserve">The Event Reporting information parameter defines the mode of reporting, with includes a threshold value or </w:t>
      </w:r>
      <w:r w:rsidRPr="00B46E3C">
        <w:t xml:space="preserve">periodic reporting with included periodicity time interval, and Immediate reporting flag if requested. </w:t>
      </w:r>
    </w:p>
    <w:p w14:paraId="72932DB0" w14:textId="77777777" w:rsidR="0087260D" w:rsidRPr="00B46E3C" w:rsidRDefault="0087260D" w:rsidP="00B46E3C">
      <w:pPr>
        <w:pStyle w:val="B1"/>
        <w:ind w:firstLine="0"/>
      </w:pPr>
      <w:r w:rsidRPr="00B46E3C">
        <w:t>Notifications related to the threshold based subscriptions will be sent, only when the delay difference of subscribed multi-modal data flows reaches the threshold. And a single notification is sent every time there is a change from being below the threshold to reach the threshold.</w:t>
      </w:r>
    </w:p>
    <w:p w14:paraId="134CBB9E" w14:textId="35A3BC4D" w:rsidR="0087260D" w:rsidRPr="00B46E3C" w:rsidRDefault="00476406" w:rsidP="00B46E3C">
      <w:pPr>
        <w:pStyle w:val="B1"/>
      </w:pPr>
      <w:r>
        <w:t xml:space="preserve">2. </w:t>
      </w:r>
      <w:r w:rsidR="0087260D" w:rsidRPr="00B46E3C">
        <w:t>The NEF confirms with Nnef_EventExposure Subscribe/Unsubscribe Nnef_EventExposure Response message to the AF.</w:t>
      </w:r>
    </w:p>
    <w:p w14:paraId="01C6477D" w14:textId="7EC61EF7" w:rsidR="0087260D" w:rsidRPr="00E97056" w:rsidRDefault="00A26C6A" w:rsidP="00B46E3C">
      <w:pPr>
        <w:pStyle w:val="B1"/>
      </w:pPr>
      <w:r>
        <w:lastRenderedPageBreak/>
        <w:t xml:space="preserve">3. </w:t>
      </w:r>
      <w:r w:rsidR="0087260D" w:rsidRPr="00E97056">
        <w:t>The NEF discovery the PCFs responsible for the requested Event Filter parameter (e.g. S-NSSAI and DNN</w:t>
      </w:r>
      <w:r w:rsidR="00476406">
        <w:t xml:space="preserve">, </w:t>
      </w:r>
      <w:r w:rsidR="0087260D" w:rsidRPr="00E97056">
        <w:t>UE IDs). The NEF may query the NRF to find the PCF(s) responsible for the requested Event Filter parameter. The NEF authorizes the AF request.</w:t>
      </w:r>
    </w:p>
    <w:p w14:paraId="2EB12488" w14:textId="1B7EC4A1" w:rsidR="0087260D" w:rsidRPr="00B46E3C" w:rsidRDefault="00A26C6A" w:rsidP="00B46E3C">
      <w:pPr>
        <w:pStyle w:val="B1"/>
      </w:pPr>
      <w:r>
        <w:t>4.</w:t>
      </w:r>
      <w:r w:rsidR="00B46E3C">
        <w:t xml:space="preserve"> </w:t>
      </w:r>
      <w:r w:rsidR="0087260D" w:rsidRPr="00B46E3C">
        <w:t xml:space="preserve">If the NEF has not already subscribed to the event from the PCF for the requested Event Filter, the NEF initiates the request Npcf_PolicyAuthorization_Subscribe request (Event ID, Event Filter, Event Reporting information, immediate reporting, S-NSSAI) to all the PCFs supporting the requested a couple of flows. </w:t>
      </w:r>
    </w:p>
    <w:p w14:paraId="5CD34FFF" w14:textId="5B7C8098" w:rsidR="0087260D" w:rsidRPr="00B46E3C" w:rsidRDefault="0087260D" w:rsidP="00E97056">
      <w:pPr>
        <w:pStyle w:val="B1"/>
        <w:ind w:firstLine="0"/>
      </w:pPr>
      <w:r w:rsidRPr="00B46E3C">
        <w:t>The NEF stores the AF requested Event Reporting Information. If multiple PCFs are selected for the requested a couple of flows, the NEF may set the Event Reporting Information to periodic in its request to the PCFs. If single PCF is selected, the NEF sets the Event Reporting Information identical to the received request from the AF. The NEF also sets the Event ID, and Event Filter identical to the received request from the AF.</w:t>
      </w:r>
    </w:p>
    <w:p w14:paraId="31B0CB45" w14:textId="06673BAD" w:rsidR="0087260D" w:rsidRPr="00B46E3C" w:rsidRDefault="00A26C6A" w:rsidP="00B46E3C">
      <w:pPr>
        <w:pStyle w:val="B1"/>
      </w:pPr>
      <w:r>
        <w:t>5.</w:t>
      </w:r>
      <w:r w:rsidR="00B46E3C">
        <w:t xml:space="preserve"> </w:t>
      </w:r>
      <w:r w:rsidR="0087260D" w:rsidRPr="00B46E3C">
        <w:t xml:space="preserve">The PCF(s) confirms with Npcf_PolicyAuthorization_Subscribe Response message to the NEF. </w:t>
      </w:r>
    </w:p>
    <w:p w14:paraId="6672E38A" w14:textId="1DA3DFC2" w:rsidR="0087260D" w:rsidRPr="00B46E3C" w:rsidRDefault="00A26C6A" w:rsidP="00B46E3C">
      <w:pPr>
        <w:pStyle w:val="B1"/>
      </w:pPr>
      <w:r>
        <w:t>6.</w:t>
      </w:r>
      <w:r w:rsidR="00B46E3C">
        <w:t xml:space="preserve"> </w:t>
      </w:r>
      <w:r w:rsidR="0087260D" w:rsidRPr="00B46E3C">
        <w:t xml:space="preserve">PCF make the policy decision and subscribed the Event requested by AF or NEF; In order to subscribe the requested Delay Difference, the PCF may trigger the QoS monitoring for the specific couple of flows, in order to get the end-to-end delays, and calculate the delay difference. </w:t>
      </w:r>
    </w:p>
    <w:p w14:paraId="6ABF7918" w14:textId="77777777" w:rsidR="00234BF2" w:rsidRDefault="000823A9" w:rsidP="00234BF2">
      <w:pPr>
        <w:ind w:left="568"/>
      </w:pPr>
      <w:r>
        <w:t>E</w:t>
      </w:r>
      <w:r w:rsidR="0087260D" w:rsidRPr="00B46E3C">
        <w:t>.g. The PCF initiates SM Policy Association Modification Request to the SMF. Based on the QoS monitoring policy for measurement from the PCF, the SMF generates the QoS Monitoring configuration f</w:t>
      </w:r>
      <w:r w:rsidRPr="000823A9">
        <w:t>or UPF, and for RAN, if needed.</w:t>
      </w:r>
    </w:p>
    <w:p w14:paraId="6E05B338" w14:textId="2007EA97" w:rsidR="0087260D" w:rsidRPr="00234BF2" w:rsidRDefault="00A26C6A" w:rsidP="00E97056">
      <w:pPr>
        <w:ind w:left="568" w:hanging="284"/>
      </w:pPr>
      <w:r>
        <w:t>7.</w:t>
      </w:r>
      <w:r w:rsidR="00234BF2">
        <w:t xml:space="preserve"> </w:t>
      </w:r>
      <w:r w:rsidR="0087260D" w:rsidRPr="00234BF2">
        <w:t xml:space="preserve">Event trigger or notifies the report to PCF (When the event detected/reached, the report will be triggered, e.g. achieved the threshold, </w:t>
      </w:r>
      <w:r w:rsidR="000823A9" w:rsidRPr="000823A9">
        <w:t xml:space="preserve">or the period timer overtime). </w:t>
      </w:r>
      <w:r w:rsidR="000823A9">
        <w:t>E</w:t>
      </w:r>
      <w:r w:rsidR="0087260D" w:rsidRPr="00234BF2">
        <w:t>.g. the UPF triggers the Notify message to report the measured information to the PCF.</w:t>
      </w:r>
      <w:r w:rsidRPr="00A26C6A">
        <w:t xml:space="preserve"> </w:t>
      </w:r>
      <w:r>
        <w:t>T</w:t>
      </w:r>
      <w:r w:rsidR="0087260D" w:rsidRPr="00234BF2">
        <w:t xml:space="preserve">he PCF </w:t>
      </w:r>
      <w:r>
        <w:t xml:space="preserve">calculate and </w:t>
      </w:r>
      <w:r w:rsidR="006253CE">
        <w:t xml:space="preserve">notify </w:t>
      </w:r>
      <w:r w:rsidR="0087260D" w:rsidRPr="00234BF2">
        <w:t xml:space="preserve">to NEF </w:t>
      </w:r>
      <w:r>
        <w:t xml:space="preserve">with </w:t>
      </w:r>
      <w:r w:rsidRPr="00603887">
        <w:t xml:space="preserve">the </w:t>
      </w:r>
      <w:r>
        <w:t>subscribed</w:t>
      </w:r>
      <w:r w:rsidRPr="00603887">
        <w:t xml:space="preserve"> </w:t>
      </w:r>
      <w:r>
        <w:t>delay d</w:t>
      </w:r>
      <w:r w:rsidRPr="00603887">
        <w:t>ifference</w:t>
      </w:r>
      <w:r w:rsidRPr="00A26C6A">
        <w:t xml:space="preserve"> </w:t>
      </w:r>
      <w:r w:rsidR="0087260D" w:rsidRPr="00234BF2">
        <w:t>as well as the real-time delay values for the couple of flows.</w:t>
      </w:r>
    </w:p>
    <w:p w14:paraId="6BB94F39" w14:textId="38FDFD9B" w:rsidR="0087260D" w:rsidRPr="00234BF2" w:rsidRDefault="00A26C6A" w:rsidP="00234BF2">
      <w:pPr>
        <w:pStyle w:val="B1"/>
      </w:pPr>
      <w:r>
        <w:t>8.</w:t>
      </w:r>
      <w:r w:rsidR="00234BF2">
        <w:t xml:space="preserve"> </w:t>
      </w:r>
      <w:r w:rsidR="0087260D" w:rsidRPr="00234BF2">
        <w:t>When the reporting condition for a subscribed event is fulfilled, as described in Step7, the PCF triggers a notification towards the NEF.</w:t>
      </w:r>
    </w:p>
    <w:p w14:paraId="3F211C7E" w14:textId="2178DAB2" w:rsidR="0087260D" w:rsidRPr="00234BF2" w:rsidRDefault="00A26C6A" w:rsidP="00234BF2">
      <w:pPr>
        <w:pStyle w:val="B1"/>
      </w:pPr>
      <w:r>
        <w:t>9.</w:t>
      </w:r>
      <w:r w:rsidR="00924C47">
        <w:t xml:space="preserve"> </w:t>
      </w:r>
      <w:r w:rsidR="0087260D" w:rsidRPr="00234BF2">
        <w:t>The PCF sends the Npcf_Policy Authorization_Notify Request (Event ID, Event Filter, Event Reporting information) message to the NEF.</w:t>
      </w:r>
    </w:p>
    <w:p w14:paraId="744EDF11" w14:textId="77777777" w:rsidR="0087260D" w:rsidRPr="00234BF2" w:rsidRDefault="0087260D" w:rsidP="00E97056">
      <w:pPr>
        <w:pStyle w:val="B1"/>
        <w:ind w:firstLine="0"/>
      </w:pPr>
      <w:r w:rsidRPr="00234BF2">
        <w:t xml:space="preserve">If the subscription is for event based notification (e.g. based on the monitored event reaching a threshold value), the Event Reporting information parameter contains confirmation for the event fulfilment. </w:t>
      </w:r>
    </w:p>
    <w:p w14:paraId="486E5C9D" w14:textId="77777777" w:rsidR="00E97056" w:rsidRDefault="0087260D" w:rsidP="00E97056">
      <w:pPr>
        <w:pStyle w:val="B1"/>
        <w:ind w:firstLine="0"/>
      </w:pPr>
      <w:r w:rsidRPr="00234BF2">
        <w:t>If the subscription is for periodic notification or for immediate reporting, the Event Reporting information parameter provides information for the current delay and delay difference (e.g. the delay difference value</w:t>
      </w:r>
      <w:r w:rsidRPr="00234BF2">
        <w:t>，</w:t>
      </w:r>
      <w:r w:rsidRPr="00234BF2">
        <w:t xml:space="preserve"> or represented in percentage of the maximum delay difference).</w:t>
      </w:r>
    </w:p>
    <w:p w14:paraId="2C8F289C" w14:textId="20506CE5" w:rsidR="0087260D" w:rsidRPr="00E97056" w:rsidRDefault="00A26C6A" w:rsidP="00E97056">
      <w:pPr>
        <w:pStyle w:val="B1"/>
      </w:pPr>
      <w:r>
        <w:t>10.</w:t>
      </w:r>
      <w:r w:rsidR="00E97056">
        <w:t xml:space="preserve"> </w:t>
      </w:r>
      <w:r w:rsidR="0087260D" w:rsidRPr="00E97056">
        <w:t>When a single PCF is returned from the discovery procedure, the NEF immediately returns, the notification received from the PCF since the reporting condition is fulfilled. In case of untrusted AF; the NEF includes the AF-Service-Identifier corresponding to the S-NSSAI in the returned notification.</w:t>
      </w:r>
    </w:p>
    <w:p w14:paraId="0B15B28E" w14:textId="346A95E3" w:rsidR="0087260D" w:rsidRPr="00E97056" w:rsidRDefault="0087260D" w:rsidP="00E97056">
      <w:pPr>
        <w:pStyle w:val="B1"/>
      </w:pPr>
      <w:r w:rsidRPr="00E97056">
        <w:t xml:space="preserve">11a. </w:t>
      </w:r>
      <w:bookmarkStart w:id="36" w:name="OLE_LINK25"/>
      <w:r w:rsidRPr="00E97056">
        <w:t>When multiple PCFs are selected for the requested delay, the NEF performs the aggregation from reporting PCF(s). And NEF maintains the overall calculate of the specific couple of flows (e.g. including real-time end-to-end delays, and the delay difference) for the selected PCFs as long as the subscription is active.</w:t>
      </w:r>
      <w:bookmarkEnd w:id="36"/>
    </w:p>
    <w:p w14:paraId="5A6FA8CF" w14:textId="14F8F9AB" w:rsidR="0087260D" w:rsidRPr="00E97056" w:rsidRDefault="0087260D" w:rsidP="00E97056">
      <w:pPr>
        <w:pStyle w:val="B1"/>
        <w:ind w:firstLine="0"/>
      </w:pPr>
      <w:r w:rsidRPr="00E97056">
        <w:t>If multiple PCFs are selected for the requested delay of the couple of flows, the NEF continuously updates the aggregated information to be able to fulfil the incoming subscription request from the AF.</w:t>
      </w:r>
    </w:p>
    <w:p w14:paraId="4D66BD17" w14:textId="5E7E70AF" w:rsidR="0087260D" w:rsidRPr="00E97056" w:rsidRDefault="0087260D" w:rsidP="00E97056">
      <w:pPr>
        <w:pStyle w:val="B1"/>
      </w:pPr>
      <w:r w:rsidRPr="00E97056">
        <w:t xml:space="preserve">11b. </w:t>
      </w:r>
      <w:proofErr w:type="gramStart"/>
      <w:r w:rsidRPr="00E97056">
        <w:t>When</w:t>
      </w:r>
      <w:proofErr w:type="gramEnd"/>
      <w:r w:rsidRPr="00E97056">
        <w:t xml:space="preserve"> multiple PCFs are selected for the requested delay of the couple of flows, and when the reporting condition for a subscribed event by the AF is fulfilled, the NEF triggers a notification towards the AF. </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37" w:name="_Toc326248711"/>
      <w:bookmarkStart w:id="38" w:name="_Toc510604409"/>
      <w:bookmarkStart w:id="39" w:name="_Toc92875664"/>
      <w:bookmarkStart w:id="40" w:name="_Toc93070688"/>
      <w:bookmarkStart w:id="41" w:name="_Toc97036722"/>
      <w:proofErr w:type="gramStart"/>
      <w:r w:rsidRPr="00B5477F">
        <w:rPr>
          <w:lang w:eastAsia="zh-CN"/>
        </w:rPr>
        <w:t>6.X.4</w:t>
      </w:r>
      <w:proofErr w:type="gramEnd"/>
      <w:r w:rsidRPr="00B5477F">
        <w:rPr>
          <w:lang w:eastAsia="zh-CN"/>
        </w:rPr>
        <w:tab/>
      </w:r>
      <w:bookmarkEnd w:id="37"/>
      <w:bookmarkEnd w:id="38"/>
      <w:bookmarkEnd w:id="39"/>
      <w:r w:rsidRPr="00B5477F">
        <w:t>Impacts on services, entities and interfaces</w:t>
      </w:r>
      <w:bookmarkEnd w:id="40"/>
      <w:bookmarkEnd w:id="41"/>
    </w:p>
    <w:bookmarkEnd w:id="13"/>
    <w:bookmarkEnd w:id="14"/>
    <w:bookmarkEnd w:id="15"/>
    <w:bookmarkEnd w:id="16"/>
    <w:bookmarkEnd w:id="17"/>
    <w:bookmarkEnd w:id="18"/>
    <w:bookmarkEnd w:id="19"/>
    <w:bookmarkEnd w:id="20"/>
    <w:bookmarkEnd w:id="21"/>
    <w:p w14:paraId="1BF4749F" w14:textId="494AC39D" w:rsidR="000515FE" w:rsidRDefault="0014683A" w:rsidP="000515FE">
      <w:pPr>
        <w:pStyle w:val="B1"/>
      </w:pPr>
      <w:r>
        <w:t xml:space="preserve">PCF: </w:t>
      </w:r>
      <w:r w:rsidR="000515FE">
        <w:t xml:space="preserve">The </w:t>
      </w:r>
      <w:r w:rsidR="000515FE" w:rsidRPr="00B46E3C">
        <w:t>PCF make the policy decision and subscribed the Event requested by AF or NEF</w:t>
      </w:r>
      <w:r w:rsidR="000515FE">
        <w:t>. T</w:t>
      </w:r>
      <w:r w:rsidR="000515FE" w:rsidRPr="00B46E3C">
        <w:t>he PCF may calculate the delay difference</w:t>
      </w:r>
      <w:r w:rsidR="000515FE">
        <w:t xml:space="preserve"> based on the reports</w:t>
      </w:r>
      <w:r w:rsidR="000515FE" w:rsidRPr="00B46E3C">
        <w:t xml:space="preserve">. </w:t>
      </w:r>
    </w:p>
    <w:p w14:paraId="6C37A8FB" w14:textId="373F9668" w:rsidR="004B66CE" w:rsidRPr="008B71CB" w:rsidRDefault="000515FE" w:rsidP="008B71CB">
      <w:pPr>
        <w:pStyle w:val="B1"/>
      </w:pPr>
      <w:r>
        <w:t xml:space="preserve">NEF: </w:t>
      </w:r>
      <w:r w:rsidRPr="00E97056">
        <w:t>The NEF discovery the PCFs responsible for the requested Event</w:t>
      </w:r>
      <w:r>
        <w:t>, and if multi-</w:t>
      </w:r>
      <w:r w:rsidRPr="00E97056">
        <w:t>PCFs are selected for the requested delay, the NEF performs the aggregation from reporting PCF(s).</w:t>
      </w:r>
    </w:p>
    <w:p w14:paraId="750DF663" w14:textId="77777777" w:rsidR="00D012A7" w:rsidRPr="009F5519" w:rsidRDefault="00D012A7" w:rsidP="004B66CE">
      <w:pPr>
        <w:pStyle w:val="B1"/>
      </w:pPr>
    </w:p>
    <w:bookmarkEnd w:id="5"/>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lastRenderedPageBreak/>
        <w:t>No more</w:t>
      </w:r>
      <w:r w:rsidRPr="002A7471">
        <w:rPr>
          <w:b/>
          <w:color w:val="FF0000"/>
          <w:sz w:val="40"/>
          <w:szCs w:val="40"/>
        </w:rPr>
        <w:t xml:space="preserve"> change</w:t>
      </w:r>
      <w:r>
        <w:rPr>
          <w:b/>
          <w:color w:val="FF0000"/>
          <w:sz w:val="40"/>
          <w:szCs w:val="40"/>
        </w:rPr>
        <w:t>s</w:t>
      </w:r>
      <w:bookmarkEnd w:id="6"/>
      <w:bookmarkEnd w:id="7"/>
      <w:bookmarkEnd w:id="8"/>
    </w:p>
    <w:sectPr w:rsidR="00C05E96" w:rsidRPr="002A747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B144B" w14:textId="77777777" w:rsidR="002A217D" w:rsidRDefault="002A217D">
      <w:r>
        <w:separator/>
      </w:r>
    </w:p>
    <w:p w14:paraId="42563818" w14:textId="77777777" w:rsidR="002A217D" w:rsidRDefault="002A217D"/>
  </w:endnote>
  <w:endnote w:type="continuationSeparator" w:id="0">
    <w:p w14:paraId="65D82435" w14:textId="77777777" w:rsidR="002A217D" w:rsidRDefault="002A217D">
      <w:r>
        <w:continuationSeparator/>
      </w:r>
    </w:p>
    <w:p w14:paraId="2FF1E457" w14:textId="77777777" w:rsidR="002A217D" w:rsidRDefault="002A2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EC894" w14:textId="77777777" w:rsidR="002A217D" w:rsidRDefault="002A217D">
      <w:r>
        <w:separator/>
      </w:r>
    </w:p>
    <w:p w14:paraId="23B1D9B7" w14:textId="77777777" w:rsidR="002A217D" w:rsidRDefault="002A217D"/>
  </w:footnote>
  <w:footnote w:type="continuationSeparator" w:id="0">
    <w:p w14:paraId="2D3932FF" w14:textId="77777777" w:rsidR="002A217D" w:rsidRDefault="002A217D">
      <w:r>
        <w:continuationSeparator/>
      </w:r>
    </w:p>
    <w:p w14:paraId="06663D7A" w14:textId="77777777" w:rsidR="002A217D" w:rsidRDefault="002A21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BA7B6F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E74BD">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CB3B15"/>
    <w:multiLevelType w:val="hybridMultilevel"/>
    <w:tmpl w:val="E73A3D82"/>
    <w:lvl w:ilvl="0" w:tplc="5B7640D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0AD7D76"/>
    <w:multiLevelType w:val="multilevel"/>
    <w:tmpl w:val="9F4A4D12"/>
    <w:lvl w:ilvl="0">
      <w:start w:val="1"/>
      <w:numFmt w:val="decimal"/>
      <w:lvlText w:val="%1."/>
      <w:lvlJc w:val="left"/>
      <w:pPr>
        <w:ind w:left="480" w:hanging="48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 w:numId="3">
    <w:abstractNumId w:val="3"/>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15FE"/>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05B"/>
    <w:rsid w:val="00074430"/>
    <w:rsid w:val="00074567"/>
    <w:rsid w:val="00074D15"/>
    <w:rsid w:val="00075FE4"/>
    <w:rsid w:val="00076220"/>
    <w:rsid w:val="0007761F"/>
    <w:rsid w:val="00077997"/>
    <w:rsid w:val="00081002"/>
    <w:rsid w:val="0008156E"/>
    <w:rsid w:val="000823A9"/>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4BD"/>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2F3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127"/>
    <w:rsid w:val="0023146E"/>
    <w:rsid w:val="00231BF7"/>
    <w:rsid w:val="00231EF9"/>
    <w:rsid w:val="00232653"/>
    <w:rsid w:val="00232696"/>
    <w:rsid w:val="0023286E"/>
    <w:rsid w:val="00232A37"/>
    <w:rsid w:val="0023368A"/>
    <w:rsid w:val="00233EC0"/>
    <w:rsid w:val="00234BF2"/>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217D"/>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B73"/>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096D"/>
    <w:rsid w:val="00374AD2"/>
    <w:rsid w:val="00375202"/>
    <w:rsid w:val="00375E83"/>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406"/>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77EEB"/>
    <w:rsid w:val="00581724"/>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3CE"/>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8B4"/>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3A8"/>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3B1D"/>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6D2"/>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260D"/>
    <w:rsid w:val="008733A1"/>
    <w:rsid w:val="00873DD0"/>
    <w:rsid w:val="00875532"/>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15D"/>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1CB"/>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624"/>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38B3"/>
    <w:rsid w:val="009044C4"/>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4C47"/>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CDF"/>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4E2F"/>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57C7"/>
    <w:rsid w:val="00A269C8"/>
    <w:rsid w:val="00A26BB0"/>
    <w:rsid w:val="00A26C6A"/>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1E7"/>
    <w:rsid w:val="00AB6496"/>
    <w:rsid w:val="00AC1228"/>
    <w:rsid w:val="00AC1D9F"/>
    <w:rsid w:val="00AC1E22"/>
    <w:rsid w:val="00AC3111"/>
    <w:rsid w:val="00AC33F9"/>
    <w:rsid w:val="00AC3942"/>
    <w:rsid w:val="00AC651D"/>
    <w:rsid w:val="00AC7FB1"/>
    <w:rsid w:val="00AD00B7"/>
    <w:rsid w:val="00AD110E"/>
    <w:rsid w:val="00AD1AAE"/>
    <w:rsid w:val="00AD1C7F"/>
    <w:rsid w:val="00AD2B29"/>
    <w:rsid w:val="00AD3595"/>
    <w:rsid w:val="00AD44EB"/>
    <w:rsid w:val="00AD49EF"/>
    <w:rsid w:val="00AD4C8D"/>
    <w:rsid w:val="00AD5883"/>
    <w:rsid w:val="00AD6580"/>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2573"/>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28D4"/>
    <w:rsid w:val="00B43385"/>
    <w:rsid w:val="00B438FF"/>
    <w:rsid w:val="00B43AE8"/>
    <w:rsid w:val="00B43E32"/>
    <w:rsid w:val="00B4551D"/>
    <w:rsid w:val="00B45D73"/>
    <w:rsid w:val="00B46AD7"/>
    <w:rsid w:val="00B46E3C"/>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372B"/>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375"/>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5F5"/>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056"/>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4652"/>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37F0"/>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72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245D2-30DC-4123-8977-43DE0795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1306</Words>
  <Characters>7447</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18</cp:revision>
  <cp:lastPrinted>2014-09-10T09:04:00Z</cp:lastPrinted>
  <dcterms:created xsi:type="dcterms:W3CDTF">2022-05-05T15:37:00Z</dcterms:created>
  <dcterms:modified xsi:type="dcterms:W3CDTF">2022-05-06T15:35:00Z</dcterms:modified>
</cp:coreProperties>
</file>